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45" w:rsidRPr="00643B6B" w:rsidRDefault="00A05345">
      <w:pPr>
        <w:rPr>
          <w:sz w:val="36"/>
          <w:szCs w:val="36"/>
        </w:rPr>
      </w:pPr>
      <w:r w:rsidRPr="00643B6B">
        <w:rPr>
          <w:sz w:val="36"/>
          <w:szCs w:val="36"/>
        </w:rPr>
        <w:t>Call for Proposa</w:t>
      </w:r>
      <w:r>
        <w:rPr>
          <w:sz w:val="36"/>
          <w:szCs w:val="36"/>
        </w:rPr>
        <w:t>ls</w:t>
      </w:r>
    </w:p>
    <w:p w:rsidR="00A05345" w:rsidRPr="00643B6B" w:rsidRDefault="00AF0C02">
      <w:pPr>
        <w:rPr>
          <w:sz w:val="28"/>
          <w:szCs w:val="28"/>
        </w:rPr>
      </w:pPr>
      <w:r>
        <w:rPr>
          <w:sz w:val="28"/>
          <w:szCs w:val="28"/>
        </w:rPr>
        <w:t>2013</w:t>
      </w:r>
      <w:r w:rsidR="00A05345" w:rsidRPr="00643B6B">
        <w:rPr>
          <w:sz w:val="28"/>
          <w:szCs w:val="28"/>
        </w:rPr>
        <w:t xml:space="preserve"> Annual Conference of the Council for Programs in Technical and Scientific Communication</w:t>
      </w:r>
    </w:p>
    <w:p w:rsidR="00A05345" w:rsidRDefault="00A05345"/>
    <w:p w:rsidR="00993254" w:rsidRDefault="00A05345">
      <w:r w:rsidRPr="00643B6B">
        <w:rPr>
          <w:sz w:val="28"/>
          <w:szCs w:val="28"/>
        </w:rPr>
        <w:t>Conference Location:</w:t>
      </w:r>
      <w:r w:rsidRPr="00643B6B">
        <w:rPr>
          <w:b/>
        </w:rPr>
        <w:t xml:space="preserve"> </w:t>
      </w:r>
      <w:r w:rsidR="00993254" w:rsidRPr="00993254">
        <w:t>University of Cincinnati,</w:t>
      </w:r>
      <w:r w:rsidR="00993254">
        <w:rPr>
          <w:b/>
        </w:rPr>
        <w:t xml:space="preserve"> </w:t>
      </w:r>
      <w:r w:rsidR="00AF0C02">
        <w:t>Cincinnati, OH</w:t>
      </w:r>
      <w:r w:rsidR="008E4008">
        <w:t xml:space="preserve"> </w:t>
      </w:r>
    </w:p>
    <w:p w:rsidR="00A05345" w:rsidRDefault="00A05345"/>
    <w:p w:rsidR="00A05345" w:rsidRDefault="00A05345">
      <w:r w:rsidRPr="00643B6B">
        <w:rPr>
          <w:sz w:val="28"/>
          <w:szCs w:val="28"/>
        </w:rPr>
        <w:t>Conference Dates:</w:t>
      </w:r>
      <w:r w:rsidR="00AF0C02">
        <w:t xml:space="preserve"> October 10-12, 2013</w:t>
      </w:r>
    </w:p>
    <w:p w:rsidR="00A05345" w:rsidRDefault="00A05345"/>
    <w:p w:rsidR="00A05345" w:rsidRPr="00D86981" w:rsidRDefault="00A05345">
      <w:pPr>
        <w:rPr>
          <w:sz w:val="22"/>
          <w:szCs w:val="22"/>
        </w:rPr>
      </w:pPr>
      <w:r w:rsidRPr="00643B6B">
        <w:rPr>
          <w:sz w:val="28"/>
          <w:szCs w:val="28"/>
        </w:rPr>
        <w:t>Conference Theme</w:t>
      </w:r>
      <w:r>
        <w:rPr>
          <w:sz w:val="28"/>
          <w:szCs w:val="28"/>
        </w:rPr>
        <w:t xml:space="preserve">: </w:t>
      </w:r>
      <w:r w:rsidR="00AF0C02" w:rsidRPr="00D86981">
        <w:rPr>
          <w:sz w:val="22"/>
          <w:szCs w:val="22"/>
        </w:rPr>
        <w:t>Reflections and Projections: Examining the Status and the Future of Programs in the Field</w:t>
      </w:r>
    </w:p>
    <w:p w:rsidR="00A05345" w:rsidRDefault="00A05345"/>
    <w:p w:rsidR="00A05345" w:rsidRPr="00D86981" w:rsidRDefault="00A05345">
      <w:pPr>
        <w:rPr>
          <w:sz w:val="22"/>
          <w:szCs w:val="22"/>
        </w:rPr>
      </w:pPr>
      <w:r w:rsidRPr="00D86981">
        <w:rPr>
          <w:b/>
          <w:sz w:val="22"/>
          <w:szCs w:val="22"/>
        </w:rPr>
        <w:t>Overview</w:t>
      </w:r>
    </w:p>
    <w:p w:rsidR="00766745" w:rsidRPr="00D86981" w:rsidRDefault="00AF0C02" w:rsidP="00686FED">
      <w:pPr>
        <w:rPr>
          <w:sz w:val="22"/>
          <w:szCs w:val="22"/>
        </w:rPr>
      </w:pPr>
      <w:r w:rsidRPr="00D86981">
        <w:rPr>
          <w:sz w:val="22"/>
          <w:szCs w:val="22"/>
        </w:rPr>
        <w:t>2013 will mark</w:t>
      </w:r>
      <w:r w:rsidR="00993254">
        <w:rPr>
          <w:sz w:val="22"/>
          <w:szCs w:val="22"/>
        </w:rPr>
        <w:t xml:space="preserve"> </w:t>
      </w:r>
      <w:r w:rsidRPr="00D86981">
        <w:rPr>
          <w:sz w:val="22"/>
          <w:szCs w:val="22"/>
        </w:rPr>
        <w:t xml:space="preserve">the </w:t>
      </w:r>
      <w:r w:rsidR="006C7E4D">
        <w:rPr>
          <w:sz w:val="22"/>
          <w:szCs w:val="22"/>
        </w:rPr>
        <w:t xml:space="preserve">40th anniversary of the </w:t>
      </w:r>
      <w:r w:rsidRPr="00D86981">
        <w:rPr>
          <w:sz w:val="22"/>
          <w:szCs w:val="22"/>
        </w:rPr>
        <w:t>Council for Programs in Technical and Scientific Communication (CPTSC)</w:t>
      </w:r>
      <w:r w:rsidR="00993254">
        <w:rPr>
          <w:sz w:val="22"/>
          <w:szCs w:val="22"/>
        </w:rPr>
        <w:t xml:space="preserve"> as an organization</w:t>
      </w:r>
      <w:r w:rsidRPr="00D86981">
        <w:rPr>
          <w:sz w:val="22"/>
          <w:szCs w:val="22"/>
        </w:rPr>
        <w:t xml:space="preserve">.  </w:t>
      </w:r>
      <w:r w:rsidR="00AB1347" w:rsidRPr="00D86981">
        <w:rPr>
          <w:sz w:val="22"/>
          <w:szCs w:val="22"/>
        </w:rPr>
        <w:t>In th</w:t>
      </w:r>
      <w:r w:rsidR="00AB1347">
        <w:rPr>
          <w:sz w:val="22"/>
          <w:szCs w:val="22"/>
        </w:rPr>
        <w:t>ose</w:t>
      </w:r>
      <w:r w:rsidR="00AB1347" w:rsidRPr="00D86981">
        <w:rPr>
          <w:sz w:val="22"/>
          <w:szCs w:val="22"/>
        </w:rPr>
        <w:t xml:space="preserve"> four decades, </w:t>
      </w:r>
      <w:r w:rsidR="00AB1347">
        <w:rPr>
          <w:sz w:val="22"/>
          <w:szCs w:val="22"/>
        </w:rPr>
        <w:t xml:space="preserve">we’ve </w:t>
      </w:r>
      <w:r w:rsidR="00AB1347" w:rsidRPr="00D86981">
        <w:rPr>
          <w:sz w:val="22"/>
          <w:szCs w:val="22"/>
        </w:rPr>
        <w:t xml:space="preserve">regularly come together to examine </w:t>
      </w:r>
      <w:r w:rsidR="00AB1347">
        <w:rPr>
          <w:sz w:val="22"/>
          <w:szCs w:val="22"/>
        </w:rPr>
        <w:t>ideas, trends, technologies, and practices</w:t>
      </w:r>
      <w:r w:rsidR="00AB1347" w:rsidRPr="00D86981">
        <w:rPr>
          <w:sz w:val="22"/>
          <w:szCs w:val="22"/>
        </w:rPr>
        <w:t xml:space="preserve"> that have caused change in the field, in the development and administration of programs</w:t>
      </w:r>
      <w:r w:rsidR="00AB1347">
        <w:rPr>
          <w:sz w:val="22"/>
          <w:szCs w:val="22"/>
        </w:rPr>
        <w:t xml:space="preserve">, and </w:t>
      </w:r>
      <w:r w:rsidR="00AB1347" w:rsidRPr="00D86981">
        <w:rPr>
          <w:sz w:val="22"/>
          <w:szCs w:val="22"/>
        </w:rPr>
        <w:t>in society</w:t>
      </w:r>
      <w:r w:rsidR="00024A59">
        <w:rPr>
          <w:sz w:val="22"/>
          <w:szCs w:val="22"/>
        </w:rPr>
        <w:t xml:space="preserve">.  </w:t>
      </w:r>
      <w:r w:rsidR="00F40DA2" w:rsidRPr="00D86981">
        <w:rPr>
          <w:sz w:val="22"/>
          <w:szCs w:val="22"/>
        </w:rPr>
        <w:t>In this way, reflection</w:t>
      </w:r>
      <w:r w:rsidR="00F40DA2">
        <w:rPr>
          <w:sz w:val="22"/>
          <w:szCs w:val="22"/>
        </w:rPr>
        <w:t xml:space="preserve"> on the field and on programs—</w:t>
      </w:r>
      <w:r w:rsidR="00F40DA2" w:rsidRPr="00D86981">
        <w:rPr>
          <w:sz w:val="22"/>
          <w:szCs w:val="22"/>
        </w:rPr>
        <w:t xml:space="preserve">where we </w:t>
      </w:r>
      <w:r w:rsidR="008E4008" w:rsidRPr="00D86981">
        <w:rPr>
          <w:sz w:val="22"/>
          <w:szCs w:val="22"/>
        </w:rPr>
        <w:t xml:space="preserve">have </w:t>
      </w:r>
      <w:r w:rsidR="00F40DA2" w:rsidRPr="00D86981">
        <w:rPr>
          <w:sz w:val="22"/>
          <w:szCs w:val="22"/>
        </w:rPr>
        <w:t xml:space="preserve">been and where we </w:t>
      </w:r>
      <w:r w:rsidR="008E4008" w:rsidRPr="00D86981">
        <w:rPr>
          <w:sz w:val="22"/>
          <w:szCs w:val="22"/>
        </w:rPr>
        <w:t xml:space="preserve">are </w:t>
      </w:r>
      <w:r w:rsidR="00F40DA2" w:rsidRPr="00D86981">
        <w:rPr>
          <w:sz w:val="22"/>
          <w:szCs w:val="22"/>
        </w:rPr>
        <w:t>now</w:t>
      </w:r>
      <w:r w:rsidR="00F40DA2">
        <w:rPr>
          <w:sz w:val="22"/>
          <w:szCs w:val="22"/>
        </w:rPr>
        <w:t>—</w:t>
      </w:r>
      <w:r w:rsidR="00F40DA2" w:rsidRPr="00D86981">
        <w:rPr>
          <w:sz w:val="22"/>
          <w:szCs w:val="22"/>
        </w:rPr>
        <w:t xml:space="preserve">has been central </w:t>
      </w:r>
      <w:r w:rsidR="006C7E4D">
        <w:rPr>
          <w:sz w:val="22"/>
          <w:szCs w:val="22"/>
        </w:rPr>
        <w:t xml:space="preserve"> to </w:t>
      </w:r>
      <w:r w:rsidR="00F40DA2" w:rsidRPr="00D86981">
        <w:rPr>
          <w:sz w:val="22"/>
          <w:szCs w:val="22"/>
        </w:rPr>
        <w:t>where</w:t>
      </w:r>
      <w:r w:rsidR="00F40DA2">
        <w:rPr>
          <w:sz w:val="22"/>
          <w:szCs w:val="22"/>
        </w:rPr>
        <w:t xml:space="preserve"> we wish to go in the future with program development. </w:t>
      </w:r>
      <w:r w:rsidR="00F40DA2" w:rsidRPr="00D86981">
        <w:rPr>
          <w:sz w:val="22"/>
          <w:szCs w:val="22"/>
        </w:rPr>
        <w:t xml:space="preserve"> </w:t>
      </w:r>
      <w:r w:rsidR="00766745" w:rsidRPr="00D86981">
        <w:rPr>
          <w:sz w:val="22"/>
          <w:szCs w:val="22"/>
        </w:rPr>
        <w:t>Through reflecting upon such factors as a group</w:t>
      </w:r>
      <w:r w:rsidR="00F40DA2">
        <w:rPr>
          <w:sz w:val="22"/>
          <w:szCs w:val="22"/>
        </w:rPr>
        <w:t>,</w:t>
      </w:r>
      <w:r w:rsidR="00766745" w:rsidRPr="00D86981">
        <w:rPr>
          <w:sz w:val="22"/>
          <w:szCs w:val="22"/>
        </w:rPr>
        <w:t xml:space="preserve"> and sharing experiences as members of a common field, </w:t>
      </w:r>
      <w:r w:rsidR="0063529C">
        <w:rPr>
          <w:sz w:val="22"/>
          <w:szCs w:val="22"/>
        </w:rPr>
        <w:t>program</w:t>
      </w:r>
      <w:r w:rsidR="0063529C" w:rsidRPr="00D86981">
        <w:rPr>
          <w:sz w:val="22"/>
          <w:szCs w:val="22"/>
        </w:rPr>
        <w:t xml:space="preserve"> </w:t>
      </w:r>
      <w:r w:rsidR="00766745" w:rsidRPr="00D86981">
        <w:rPr>
          <w:sz w:val="22"/>
          <w:szCs w:val="22"/>
        </w:rPr>
        <w:t xml:space="preserve">administrators in technical and scientific communication </w:t>
      </w:r>
      <w:r w:rsidR="00F40DA2">
        <w:rPr>
          <w:sz w:val="22"/>
          <w:szCs w:val="22"/>
        </w:rPr>
        <w:t>are</w:t>
      </w:r>
      <w:r w:rsidR="00766745" w:rsidRPr="00D86981">
        <w:rPr>
          <w:sz w:val="22"/>
          <w:szCs w:val="22"/>
        </w:rPr>
        <w:t xml:space="preserve"> better able to address changes in society and in the field </w:t>
      </w:r>
      <w:r w:rsidR="00F40DA2">
        <w:rPr>
          <w:sz w:val="22"/>
          <w:szCs w:val="22"/>
        </w:rPr>
        <w:t>from</w:t>
      </w:r>
      <w:r w:rsidR="00F40DA2" w:rsidRPr="00D86981">
        <w:rPr>
          <w:sz w:val="22"/>
          <w:szCs w:val="22"/>
        </w:rPr>
        <w:t xml:space="preserve"> </w:t>
      </w:r>
      <w:r w:rsidR="00766745" w:rsidRPr="00D86981">
        <w:rPr>
          <w:sz w:val="22"/>
          <w:szCs w:val="22"/>
        </w:rPr>
        <w:t xml:space="preserve">a programmatic </w:t>
      </w:r>
      <w:r w:rsidR="00F40DA2">
        <w:rPr>
          <w:sz w:val="22"/>
          <w:szCs w:val="22"/>
        </w:rPr>
        <w:t>perspective</w:t>
      </w:r>
      <w:r w:rsidR="00766745" w:rsidRPr="00D86981">
        <w:rPr>
          <w:sz w:val="22"/>
          <w:szCs w:val="22"/>
        </w:rPr>
        <w:t xml:space="preserve">.  </w:t>
      </w:r>
    </w:p>
    <w:p w:rsidR="00686FED" w:rsidRPr="00D86981" w:rsidRDefault="00686FED" w:rsidP="00686FED">
      <w:pPr>
        <w:rPr>
          <w:sz w:val="22"/>
          <w:szCs w:val="22"/>
        </w:rPr>
      </w:pPr>
    </w:p>
    <w:p w:rsidR="00E0076C" w:rsidRDefault="00A05345">
      <w:pPr>
        <w:rPr>
          <w:sz w:val="22"/>
          <w:szCs w:val="22"/>
        </w:rPr>
      </w:pPr>
      <w:r w:rsidRPr="00D86981">
        <w:rPr>
          <w:sz w:val="22"/>
          <w:szCs w:val="22"/>
        </w:rPr>
        <w:t xml:space="preserve">As program administrators, we need to understand </w:t>
      </w:r>
      <w:r w:rsidR="00766745" w:rsidRPr="00D86981">
        <w:rPr>
          <w:sz w:val="22"/>
          <w:szCs w:val="22"/>
        </w:rPr>
        <w:t>how the forces and factors that have shaped ou</w:t>
      </w:r>
      <w:r w:rsidR="00F40DA2">
        <w:rPr>
          <w:sz w:val="22"/>
          <w:szCs w:val="22"/>
        </w:rPr>
        <w:t>r</w:t>
      </w:r>
      <w:r w:rsidR="00766745" w:rsidRPr="00D86981">
        <w:rPr>
          <w:sz w:val="22"/>
          <w:szCs w:val="22"/>
        </w:rPr>
        <w:t xml:space="preserve"> programs over time</w:t>
      </w:r>
      <w:r w:rsidR="00FD77A5">
        <w:rPr>
          <w:sz w:val="22"/>
          <w:szCs w:val="22"/>
        </w:rPr>
        <w:t>,</w:t>
      </w:r>
      <w:r w:rsidR="00766745" w:rsidRPr="00D86981">
        <w:rPr>
          <w:sz w:val="22"/>
          <w:szCs w:val="22"/>
        </w:rPr>
        <w:t xml:space="preserve"> </w:t>
      </w:r>
      <w:r w:rsidR="00FD77A5">
        <w:rPr>
          <w:sz w:val="22"/>
          <w:szCs w:val="22"/>
        </w:rPr>
        <w:t>as well as</w:t>
      </w:r>
      <w:r w:rsidR="00FD77A5" w:rsidRPr="00D86981">
        <w:rPr>
          <w:sz w:val="22"/>
          <w:szCs w:val="22"/>
        </w:rPr>
        <w:t xml:space="preserve"> </w:t>
      </w:r>
      <w:r w:rsidR="00F40DA2">
        <w:rPr>
          <w:sz w:val="22"/>
          <w:szCs w:val="22"/>
        </w:rPr>
        <w:t xml:space="preserve">those </w:t>
      </w:r>
      <w:r w:rsidR="00766745" w:rsidRPr="00D86981">
        <w:rPr>
          <w:sz w:val="22"/>
          <w:szCs w:val="22"/>
        </w:rPr>
        <w:t>currently affecting</w:t>
      </w:r>
      <w:r w:rsidR="00FD77A5">
        <w:rPr>
          <w:sz w:val="22"/>
          <w:szCs w:val="22"/>
        </w:rPr>
        <w:t xml:space="preserve"> programs, </w:t>
      </w:r>
      <w:r w:rsidR="00766745" w:rsidRPr="00D86981">
        <w:rPr>
          <w:sz w:val="22"/>
          <w:szCs w:val="22"/>
        </w:rPr>
        <w:t xml:space="preserve">influence their development for the future.  </w:t>
      </w:r>
    </w:p>
    <w:p w:rsidR="00E0076C" w:rsidRDefault="00E0076C">
      <w:pPr>
        <w:rPr>
          <w:sz w:val="22"/>
          <w:szCs w:val="22"/>
        </w:rPr>
      </w:pPr>
    </w:p>
    <w:p w:rsidR="00A05345" w:rsidRPr="00D86981" w:rsidRDefault="00766745">
      <w:pPr>
        <w:rPr>
          <w:sz w:val="22"/>
          <w:szCs w:val="22"/>
        </w:rPr>
      </w:pPr>
      <w:r w:rsidRPr="00D86981">
        <w:rPr>
          <w:sz w:val="22"/>
          <w:szCs w:val="22"/>
        </w:rPr>
        <w:t>The 2013</w:t>
      </w:r>
      <w:r w:rsidR="00A05345" w:rsidRPr="00D86981">
        <w:rPr>
          <w:sz w:val="22"/>
          <w:szCs w:val="22"/>
        </w:rPr>
        <w:t xml:space="preserve"> Annual </w:t>
      </w:r>
      <w:r w:rsidRPr="00D86981">
        <w:rPr>
          <w:sz w:val="22"/>
          <w:szCs w:val="22"/>
        </w:rPr>
        <w:t>Meeting</w:t>
      </w:r>
      <w:r w:rsidR="00A05345" w:rsidRPr="00D86981">
        <w:rPr>
          <w:sz w:val="22"/>
          <w:szCs w:val="22"/>
        </w:rPr>
        <w:t xml:space="preserve"> of the CPTSC wishes to address these ideas by inviting proposals for presentations that examine how </w:t>
      </w:r>
      <w:r w:rsidRPr="00D86981">
        <w:rPr>
          <w:sz w:val="22"/>
          <w:szCs w:val="22"/>
        </w:rPr>
        <w:t xml:space="preserve">reflections on past and current trends, practices, and developments in the field might be used as a guide </w:t>
      </w:r>
      <w:r w:rsidR="00FD77A5">
        <w:rPr>
          <w:sz w:val="22"/>
          <w:szCs w:val="22"/>
        </w:rPr>
        <w:t>to</w:t>
      </w:r>
      <w:r w:rsidRPr="00D86981">
        <w:rPr>
          <w:sz w:val="22"/>
          <w:szCs w:val="22"/>
        </w:rPr>
        <w:t xml:space="preserve"> facilitate program development for the future. </w:t>
      </w:r>
      <w:r w:rsidR="00526CE5" w:rsidRPr="00D86981">
        <w:rPr>
          <w:sz w:val="22"/>
          <w:szCs w:val="22"/>
        </w:rPr>
        <w:t xml:space="preserve">Such factors may be </w:t>
      </w:r>
      <w:r w:rsidR="00A05345" w:rsidRPr="00D86981">
        <w:rPr>
          <w:sz w:val="22"/>
          <w:szCs w:val="22"/>
        </w:rPr>
        <w:t xml:space="preserve">local </w:t>
      </w:r>
      <w:r w:rsidR="00526CE5" w:rsidRPr="00D86981">
        <w:rPr>
          <w:sz w:val="22"/>
          <w:szCs w:val="22"/>
        </w:rPr>
        <w:t xml:space="preserve">or global in nature, </w:t>
      </w:r>
      <w:r w:rsidR="00A05345" w:rsidRPr="00D86981">
        <w:rPr>
          <w:sz w:val="22"/>
          <w:szCs w:val="22"/>
        </w:rPr>
        <w:t xml:space="preserve">may influence and be influenced by </w:t>
      </w:r>
      <w:r w:rsidR="00526CE5" w:rsidRPr="00D86981">
        <w:rPr>
          <w:sz w:val="22"/>
          <w:szCs w:val="22"/>
        </w:rPr>
        <w:t>trends in industry or society, and may result from or drive scholarly research in the discipline.</w:t>
      </w:r>
      <w:r w:rsidR="00A05345" w:rsidRPr="00D86981">
        <w:rPr>
          <w:sz w:val="22"/>
          <w:szCs w:val="22"/>
        </w:rPr>
        <w:t xml:space="preserve"> We welcome a variety of perspectives and approaches—historical, prag</w:t>
      </w:r>
      <w:r w:rsidR="00526CE5" w:rsidRPr="00D86981">
        <w:rPr>
          <w:sz w:val="22"/>
          <w:szCs w:val="22"/>
        </w:rPr>
        <w:t>matic, empirical, or theoretical – that examine how past and future developments in the field might provide a foundation for examining the future of the field and the programs within it</w:t>
      </w:r>
      <w:r w:rsidR="00A05345" w:rsidRPr="00D86981">
        <w:rPr>
          <w:sz w:val="22"/>
          <w:szCs w:val="22"/>
        </w:rPr>
        <w:t xml:space="preserve">. </w:t>
      </w:r>
    </w:p>
    <w:p w:rsidR="00A05345" w:rsidRPr="00D86981" w:rsidRDefault="00A05345">
      <w:pPr>
        <w:rPr>
          <w:sz w:val="22"/>
          <w:szCs w:val="22"/>
        </w:rPr>
      </w:pPr>
    </w:p>
    <w:p w:rsidR="00A05345" w:rsidRPr="00D86981" w:rsidRDefault="00A05345" w:rsidP="00A05345">
      <w:pPr>
        <w:rPr>
          <w:b/>
          <w:sz w:val="22"/>
          <w:szCs w:val="22"/>
        </w:rPr>
      </w:pPr>
      <w:r w:rsidRPr="00D86981">
        <w:rPr>
          <w:b/>
          <w:sz w:val="22"/>
          <w:szCs w:val="22"/>
        </w:rPr>
        <w:t xml:space="preserve">Possible Topic Areas </w:t>
      </w:r>
    </w:p>
    <w:p w:rsidR="00A05345" w:rsidRPr="00D86981" w:rsidRDefault="00A05345" w:rsidP="00A05345">
      <w:pPr>
        <w:rPr>
          <w:sz w:val="22"/>
          <w:szCs w:val="22"/>
        </w:rPr>
      </w:pPr>
      <w:r w:rsidRPr="00D86981">
        <w:rPr>
          <w:sz w:val="22"/>
          <w:szCs w:val="22"/>
        </w:rPr>
        <w:t>Suggested topic areas for CPTSC conference proposals include</w:t>
      </w:r>
      <w:r w:rsidR="00FD77A5">
        <w:rPr>
          <w:sz w:val="22"/>
          <w:szCs w:val="22"/>
        </w:rPr>
        <w:t>,</w:t>
      </w:r>
      <w:r w:rsidRPr="00D86981">
        <w:rPr>
          <w:sz w:val="22"/>
          <w:szCs w:val="22"/>
        </w:rPr>
        <w:t xml:space="preserve"> but are not limited to</w:t>
      </w:r>
      <w:r w:rsidR="00FD77A5">
        <w:rPr>
          <w:sz w:val="22"/>
          <w:szCs w:val="22"/>
        </w:rPr>
        <w:t>,</w:t>
      </w:r>
      <w:r w:rsidRPr="00D86981">
        <w:rPr>
          <w:sz w:val="22"/>
          <w:szCs w:val="22"/>
        </w:rPr>
        <w:t xml:space="preserve"> examinations of the following </w:t>
      </w:r>
      <w:r w:rsidR="00117804" w:rsidRPr="00D86981">
        <w:rPr>
          <w:sz w:val="22"/>
          <w:szCs w:val="22"/>
        </w:rPr>
        <w:t>themes</w:t>
      </w:r>
      <w:r w:rsidR="00EB74C9" w:rsidRPr="00D86981">
        <w:rPr>
          <w:sz w:val="22"/>
          <w:szCs w:val="22"/>
        </w:rPr>
        <w:t xml:space="preserve"> or addressing the following questions</w:t>
      </w:r>
      <w:r w:rsidRPr="00D86981">
        <w:rPr>
          <w:sz w:val="22"/>
          <w:szCs w:val="22"/>
        </w:rPr>
        <w:t>:</w:t>
      </w:r>
    </w:p>
    <w:p w:rsidR="00EB74C9" w:rsidRPr="00D86981" w:rsidRDefault="00EB74C9" w:rsidP="00EB74C9">
      <w:pPr>
        <w:ind w:left="360"/>
        <w:rPr>
          <w:sz w:val="22"/>
          <w:szCs w:val="22"/>
        </w:rPr>
      </w:pPr>
    </w:p>
    <w:p w:rsidR="00EB74C9" w:rsidRPr="00E1510A" w:rsidRDefault="00117804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 xml:space="preserve">Curriculum Development: </w:t>
      </w:r>
    </w:p>
    <w:p w:rsidR="00EB74C9" w:rsidRPr="00D86981" w:rsidRDefault="00117804" w:rsidP="00EB74C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 xml:space="preserve">What should </w:t>
      </w:r>
      <w:r w:rsidR="00FD77A5">
        <w:rPr>
          <w:sz w:val="22"/>
          <w:szCs w:val="22"/>
        </w:rPr>
        <w:t>a</w:t>
      </w:r>
      <w:r w:rsidR="00FD77A5" w:rsidRPr="00D86981">
        <w:rPr>
          <w:sz w:val="22"/>
          <w:szCs w:val="22"/>
        </w:rPr>
        <w:t xml:space="preserve"> </w:t>
      </w:r>
      <w:r w:rsidRPr="00D86981">
        <w:rPr>
          <w:sz w:val="22"/>
          <w:szCs w:val="22"/>
        </w:rPr>
        <w:t xml:space="preserve">core curriculum in technical and scientific communication be? </w:t>
      </w:r>
      <w:r w:rsidR="00FD77A5">
        <w:rPr>
          <w:sz w:val="22"/>
          <w:szCs w:val="22"/>
        </w:rPr>
        <w:t>What common outcomes, goals, and topics do programs share?</w:t>
      </w:r>
      <w:r w:rsidRPr="00D86981">
        <w:rPr>
          <w:sz w:val="22"/>
          <w:szCs w:val="22"/>
        </w:rPr>
        <w:t xml:space="preserve"> </w:t>
      </w:r>
    </w:p>
    <w:p w:rsidR="00117804" w:rsidRDefault="00117804" w:rsidP="00EB74C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courses should be revised, expanded</w:t>
      </w:r>
      <w:r w:rsidR="00FD77A5">
        <w:rPr>
          <w:sz w:val="22"/>
          <w:szCs w:val="22"/>
        </w:rPr>
        <w:t>,</w:t>
      </w:r>
      <w:r w:rsidRPr="00D86981">
        <w:rPr>
          <w:sz w:val="22"/>
          <w:szCs w:val="22"/>
        </w:rPr>
        <w:t xml:space="preserve"> or added to core curricula in technical and scientific communication to better reflect current or future contexts (e.g., social, economic, etc.)?  </w:t>
      </w:r>
    </w:p>
    <w:p w:rsidR="00C47F66" w:rsidRDefault="00C47F66" w:rsidP="00C47F6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role should experiential learning (such as service learning, internships, and client-based projects) have in the curriculum?</w:t>
      </w:r>
    </w:p>
    <w:p w:rsidR="00EB74C9" w:rsidRPr="00D86981" w:rsidRDefault="00EB74C9" w:rsidP="00EB74C9">
      <w:pPr>
        <w:ind w:left="360"/>
        <w:rPr>
          <w:sz w:val="22"/>
          <w:szCs w:val="22"/>
        </w:rPr>
      </w:pPr>
    </w:p>
    <w:p w:rsidR="00EB74C9" w:rsidRPr="00E1510A" w:rsidRDefault="00117804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 xml:space="preserve">Program Identity: </w:t>
      </w:r>
    </w:p>
    <w:p w:rsidR="00EB74C9" w:rsidRPr="00D86981" w:rsidRDefault="00117804" w:rsidP="00EB74C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lastRenderedPageBreak/>
        <w:t>How do we identify or brand our programs so they are recognizable to students</w:t>
      </w:r>
      <w:r w:rsidR="00EB74C9" w:rsidRPr="00D86981">
        <w:rPr>
          <w:sz w:val="22"/>
          <w:szCs w:val="22"/>
        </w:rPr>
        <w:t xml:space="preserve">, faculty, and administrators </w:t>
      </w:r>
      <w:r w:rsidRPr="00D86981">
        <w:rPr>
          <w:sz w:val="22"/>
          <w:szCs w:val="22"/>
        </w:rPr>
        <w:t xml:space="preserve">at our institutions?  </w:t>
      </w:r>
      <w:r w:rsidR="00EB74C9" w:rsidRPr="00D86981">
        <w:rPr>
          <w:sz w:val="22"/>
          <w:szCs w:val="22"/>
        </w:rPr>
        <w:t>To colleagues or students at other institutions (e.g., marketing graduate programs to students at other institutions</w:t>
      </w:r>
      <w:r w:rsidR="00AF2C66">
        <w:rPr>
          <w:sz w:val="22"/>
          <w:szCs w:val="22"/>
        </w:rPr>
        <w:t xml:space="preserve">; attracting students from </w:t>
      </w:r>
      <w:r w:rsidR="00AF2C66" w:rsidRPr="00D86981">
        <w:rPr>
          <w:sz w:val="22"/>
          <w:szCs w:val="22"/>
        </w:rPr>
        <w:t>high schools, community colleges</w:t>
      </w:r>
      <w:r w:rsidR="00EB74C9" w:rsidRPr="00D86981">
        <w:rPr>
          <w:sz w:val="22"/>
          <w:szCs w:val="22"/>
        </w:rPr>
        <w:t>)?</w:t>
      </w:r>
      <w:r w:rsidR="00FD77A5">
        <w:rPr>
          <w:sz w:val="22"/>
          <w:szCs w:val="22"/>
        </w:rPr>
        <w:t xml:space="preserve"> </w:t>
      </w:r>
    </w:p>
    <w:p w:rsidR="007D1CE7" w:rsidRDefault="00EB74C9" w:rsidP="00EB74C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How do we identify or brand our programs so they are recognizable t</w:t>
      </w:r>
      <w:r w:rsidR="00117804" w:rsidRPr="00D86981">
        <w:rPr>
          <w:sz w:val="22"/>
          <w:szCs w:val="22"/>
        </w:rPr>
        <w:t xml:space="preserve">o individuals outside of academia (e.g., prospective employers, parents, legislators, etc.)?   </w:t>
      </w:r>
      <w:r w:rsidR="00FD77A5">
        <w:rPr>
          <w:sz w:val="22"/>
          <w:szCs w:val="22"/>
        </w:rPr>
        <w:t>To current and potential industry partners or stakeholders?</w:t>
      </w:r>
    </w:p>
    <w:p w:rsidR="00C47F66" w:rsidRPr="00D86981" w:rsidRDefault="00C47F66" w:rsidP="00C47F66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strategies can we use to effectively promote our programs both within our own institutions</w:t>
      </w:r>
      <w:r w:rsidR="002E718B">
        <w:rPr>
          <w:sz w:val="22"/>
          <w:szCs w:val="22"/>
        </w:rPr>
        <w:t xml:space="preserve">, </w:t>
      </w:r>
      <w:r w:rsidRPr="00D86981">
        <w:rPr>
          <w:sz w:val="22"/>
          <w:szCs w:val="22"/>
        </w:rPr>
        <w:t>with other institutions (e.g., high schools, other community colleges, colleges, or universities)</w:t>
      </w:r>
      <w:r w:rsidR="002E718B">
        <w:rPr>
          <w:sz w:val="22"/>
          <w:szCs w:val="22"/>
        </w:rPr>
        <w:t>, and with our local, state, and regional communities</w:t>
      </w:r>
      <w:r w:rsidRPr="00D86981">
        <w:rPr>
          <w:sz w:val="22"/>
          <w:szCs w:val="22"/>
        </w:rPr>
        <w:t xml:space="preserve">? </w:t>
      </w:r>
    </w:p>
    <w:p w:rsidR="00EB74C9" w:rsidRPr="00D86981" w:rsidRDefault="00EB74C9" w:rsidP="00EB74C9">
      <w:pPr>
        <w:ind w:left="720"/>
        <w:rPr>
          <w:sz w:val="22"/>
          <w:szCs w:val="22"/>
        </w:rPr>
      </w:pPr>
    </w:p>
    <w:p w:rsidR="00EB74C9" w:rsidRPr="00E1510A" w:rsidRDefault="005C303B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 xml:space="preserve">Assessment Practices: </w:t>
      </w:r>
    </w:p>
    <w:p w:rsidR="00EB74C9" w:rsidRPr="00D86981" w:rsidRDefault="005C303B" w:rsidP="00EB74C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 xml:space="preserve">What approaches and practices are we using to assess programs in the field?  </w:t>
      </w:r>
      <w:r w:rsidR="00EB74C9" w:rsidRPr="00D86981">
        <w:rPr>
          <w:sz w:val="22"/>
          <w:szCs w:val="22"/>
        </w:rPr>
        <w:t>Are these practices successful, or should they be modified.  (If so, how?)</w:t>
      </w:r>
    </w:p>
    <w:p w:rsidR="00117804" w:rsidRPr="00D86981" w:rsidRDefault="005C303B" w:rsidP="00EB74C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 xml:space="preserve">What approaches and practices </w:t>
      </w:r>
      <w:r w:rsidR="00EB74C9" w:rsidRPr="00D86981">
        <w:rPr>
          <w:sz w:val="22"/>
          <w:szCs w:val="22"/>
        </w:rPr>
        <w:t>to assessment could we borrow from other fields (e.g., rhetoric and composition, communication studies, etc.) to help with the assessment of our programs</w:t>
      </w:r>
      <w:r w:rsidRPr="00D86981">
        <w:rPr>
          <w:sz w:val="22"/>
          <w:szCs w:val="22"/>
        </w:rPr>
        <w:t>?</w:t>
      </w:r>
      <w:r w:rsidR="00EB74C9" w:rsidRPr="00D86981">
        <w:rPr>
          <w:sz w:val="22"/>
          <w:szCs w:val="22"/>
        </w:rPr>
        <w:t xml:space="preserve">   </w:t>
      </w:r>
    </w:p>
    <w:p w:rsidR="00EB74C9" w:rsidRPr="00D86981" w:rsidRDefault="00EB74C9" w:rsidP="00EB74C9">
      <w:pPr>
        <w:ind w:left="720"/>
        <w:rPr>
          <w:sz w:val="22"/>
          <w:szCs w:val="22"/>
        </w:rPr>
      </w:pPr>
    </w:p>
    <w:p w:rsidR="00EB74C9" w:rsidRPr="00E1510A" w:rsidRDefault="00EB74C9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 xml:space="preserve">Industry Relationships: </w:t>
      </w:r>
    </w:p>
    <w:p w:rsidR="00EB74C9" w:rsidRPr="00D86981" w:rsidRDefault="006557A1" w:rsidP="00EB74C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Should programs seek to foster relationships with or to form partnerships with local industry?  If so, w</w:t>
      </w:r>
      <w:r w:rsidR="00EB74C9" w:rsidRPr="00D86981">
        <w:rPr>
          <w:sz w:val="22"/>
          <w:szCs w:val="22"/>
        </w:rPr>
        <w:t xml:space="preserve">hat strategies can we use to increase connections with industry in the field?  </w:t>
      </w:r>
    </w:p>
    <w:p w:rsidR="005C303B" w:rsidRPr="00D86981" w:rsidRDefault="00EB74C9" w:rsidP="00EB74C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 xml:space="preserve">How do (or might) such relationships affect the nature of programs in the field? </w:t>
      </w:r>
    </w:p>
    <w:p w:rsidR="00EB74C9" w:rsidRPr="00D86981" w:rsidRDefault="00EB74C9" w:rsidP="00EB74C9">
      <w:pPr>
        <w:ind w:left="720"/>
        <w:rPr>
          <w:sz w:val="22"/>
          <w:szCs w:val="22"/>
        </w:rPr>
      </w:pPr>
    </w:p>
    <w:p w:rsidR="00F1655E" w:rsidRPr="00E1510A" w:rsidRDefault="00F1655E" w:rsidP="00F1655E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>Online Approaches:</w:t>
      </w:r>
    </w:p>
    <w:p w:rsidR="00F1655E" w:rsidRPr="00D86981" w:rsidRDefault="00F1655E" w:rsidP="00F1655E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 xml:space="preserve">How do we position/locate and integrate online classes within a program? </w:t>
      </w:r>
    </w:p>
    <w:p w:rsidR="00E1510A" w:rsidRDefault="00F1655E" w:rsidP="00F1655E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practices can we use to develop and deliver online classes within a program?</w:t>
      </w:r>
      <w:r w:rsidR="006C7E4D">
        <w:rPr>
          <w:sz w:val="22"/>
          <w:szCs w:val="22"/>
        </w:rPr>
        <w:t xml:space="preserve">  </w:t>
      </w:r>
    </w:p>
    <w:p w:rsidR="00FD77A5" w:rsidRPr="00D86981" w:rsidRDefault="00FD77A5" w:rsidP="00F1655E">
      <w:pPr>
        <w:numPr>
          <w:ilvl w:val="1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What potential might exist for sharing, or partnering, </w:t>
      </w:r>
      <w:r w:rsidR="00AF2C66">
        <w:rPr>
          <w:sz w:val="22"/>
          <w:szCs w:val="22"/>
        </w:rPr>
        <w:t>in online courses or programs?</w:t>
      </w:r>
    </w:p>
    <w:p w:rsidR="00F1655E" w:rsidRPr="00D86981" w:rsidRDefault="00F1655E" w:rsidP="00F1655E">
      <w:pPr>
        <w:ind w:left="720"/>
        <w:rPr>
          <w:sz w:val="22"/>
          <w:szCs w:val="22"/>
        </w:rPr>
      </w:pPr>
    </w:p>
    <w:p w:rsidR="00B14140" w:rsidRPr="00E1510A" w:rsidRDefault="00B14140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 xml:space="preserve">Service Learning: </w:t>
      </w:r>
    </w:p>
    <w:p w:rsidR="00B14140" w:rsidRPr="00D86981" w:rsidRDefault="00B14140" w:rsidP="00B14140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role can service-learning play to enhance the experiences of students in our programs?</w:t>
      </w:r>
    </w:p>
    <w:p w:rsidR="00B14140" w:rsidRPr="00D86981" w:rsidRDefault="00B14140" w:rsidP="00B14140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strategies can we use to integrate a service-learning approach into our individual courses and our overall curricula or programs?</w:t>
      </w:r>
    </w:p>
    <w:p w:rsidR="00B14140" w:rsidRPr="00E1510A" w:rsidRDefault="00B14140" w:rsidP="00B14140">
      <w:pPr>
        <w:ind w:left="360"/>
        <w:rPr>
          <w:i/>
          <w:sz w:val="22"/>
          <w:szCs w:val="22"/>
        </w:rPr>
      </w:pPr>
    </w:p>
    <w:p w:rsidR="00AE5228" w:rsidRPr="00E1510A" w:rsidRDefault="00AE5228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>Theoretical Foundations:</w:t>
      </w:r>
    </w:p>
    <w:p w:rsidR="00AE5228" w:rsidRPr="00D86981" w:rsidRDefault="00AE5228" w:rsidP="00AE5228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theories or body of theory should serve as a foundation for research and development on programmatic issues in the field?</w:t>
      </w:r>
    </w:p>
    <w:p w:rsidR="00AE5228" w:rsidRPr="00D86981" w:rsidRDefault="00AE5228" w:rsidP="00AE5228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steps can we take to effectively integrate and balance the teaching of theory with the teaching of applications in our courses and in our programs?</w:t>
      </w:r>
    </w:p>
    <w:p w:rsidR="00F4647F" w:rsidRPr="00D86981" w:rsidRDefault="00F4647F" w:rsidP="00AE5228">
      <w:pPr>
        <w:ind w:left="720"/>
        <w:rPr>
          <w:sz w:val="22"/>
          <w:szCs w:val="22"/>
        </w:rPr>
      </w:pPr>
    </w:p>
    <w:p w:rsidR="00D5764A" w:rsidRPr="00E1510A" w:rsidRDefault="00D5764A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>Publishing Practices:</w:t>
      </w:r>
    </w:p>
    <w:p w:rsidR="00D5764A" w:rsidRPr="00D86981" w:rsidRDefault="00D5764A" w:rsidP="00D5764A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do new and emerging venues for publishing scholarship mean for faculty members teaching in our programs?</w:t>
      </w:r>
    </w:p>
    <w:p w:rsidR="00D5764A" w:rsidRPr="00D86981" w:rsidRDefault="00D5764A" w:rsidP="00D5764A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steps can we take to develop publishing options (e.g., journals, open access book projects, wiki-based forums) for our programs</w:t>
      </w:r>
      <w:r w:rsidR="002E718B">
        <w:rPr>
          <w:sz w:val="22"/>
          <w:szCs w:val="22"/>
        </w:rPr>
        <w:t>,</w:t>
      </w:r>
      <w:r w:rsidRPr="00D86981">
        <w:rPr>
          <w:sz w:val="22"/>
          <w:szCs w:val="22"/>
        </w:rPr>
        <w:t xml:space="preserve"> and what do such options mean for students and faculty in our programs?</w:t>
      </w:r>
    </w:p>
    <w:p w:rsidR="00D5764A" w:rsidRPr="00D86981" w:rsidRDefault="00D5764A" w:rsidP="00D5764A">
      <w:pPr>
        <w:ind w:left="360"/>
        <w:rPr>
          <w:sz w:val="22"/>
          <w:szCs w:val="22"/>
        </w:rPr>
      </w:pPr>
    </w:p>
    <w:p w:rsidR="00D5764A" w:rsidRPr="00E1510A" w:rsidRDefault="00D5764A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>Administrative Practices:</w:t>
      </w:r>
    </w:p>
    <w:p w:rsidR="00D5764A" w:rsidRPr="00D86981" w:rsidRDefault="00D5764A" w:rsidP="00D5764A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 xml:space="preserve">What can we learn from or adopt (or adapt) from administrative practices in parallel fields (e.g., from writing program administrators)? </w:t>
      </w:r>
    </w:p>
    <w:p w:rsidR="00D5764A" w:rsidRDefault="00D5764A" w:rsidP="00D5764A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mechanisms can we develop for sharing best practices on program administration with other members of the field?</w:t>
      </w:r>
    </w:p>
    <w:p w:rsidR="00C47F66" w:rsidRDefault="00C47F66" w:rsidP="00C47F6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What is the current status of perennial administrative problems such as revising and updating/revising/starting programs, advising, funding and maintaining lab space, hiring adjuncts to staff service courses, relationships with other areas in our departments or on campus?</w:t>
      </w:r>
    </w:p>
    <w:p w:rsidR="00D5764A" w:rsidRPr="00D86981" w:rsidRDefault="00D5764A" w:rsidP="00D5764A">
      <w:pPr>
        <w:ind w:left="360"/>
        <w:rPr>
          <w:sz w:val="22"/>
          <w:szCs w:val="22"/>
        </w:rPr>
      </w:pPr>
    </w:p>
    <w:p w:rsidR="00B55379" w:rsidRPr="00E1510A" w:rsidRDefault="00B55379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>Social Forces:</w:t>
      </w:r>
    </w:p>
    <w:p w:rsidR="00EE0331" w:rsidRDefault="00B55379" w:rsidP="00B5537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social forces – including economic forces –</w:t>
      </w:r>
      <w:r w:rsidR="00D52CEE" w:rsidRPr="00D86981">
        <w:rPr>
          <w:sz w:val="22"/>
          <w:szCs w:val="22"/>
        </w:rPr>
        <w:t xml:space="preserve"> ar</w:t>
      </w:r>
      <w:r w:rsidRPr="00D86981">
        <w:rPr>
          <w:sz w:val="22"/>
          <w:szCs w:val="22"/>
        </w:rPr>
        <w:t>e</w:t>
      </w:r>
      <w:r w:rsidR="00D52CEE" w:rsidRPr="00D86981">
        <w:rPr>
          <w:sz w:val="22"/>
          <w:szCs w:val="22"/>
        </w:rPr>
        <w:t xml:space="preserve"> </w:t>
      </w:r>
      <w:r w:rsidRPr="00D86981">
        <w:rPr>
          <w:sz w:val="22"/>
          <w:szCs w:val="22"/>
        </w:rPr>
        <w:t xml:space="preserve">affecting or are poised to affect programs in our field?  </w:t>
      </w:r>
    </w:p>
    <w:p w:rsidR="00B55379" w:rsidRPr="00D86981" w:rsidRDefault="00B55379" w:rsidP="00B5537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do these factors mean for the future of programs in our field?</w:t>
      </w:r>
    </w:p>
    <w:p w:rsidR="00B55379" w:rsidRPr="00D86981" w:rsidRDefault="00B55379" w:rsidP="00B55379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strategies can we use or develop to best address such forces in effective and in meaningful ways?</w:t>
      </w:r>
    </w:p>
    <w:p w:rsidR="00F1655E" w:rsidRPr="00E1510A" w:rsidRDefault="00F1655E" w:rsidP="00F1655E">
      <w:pPr>
        <w:ind w:left="360"/>
        <w:rPr>
          <w:i/>
          <w:sz w:val="22"/>
          <w:szCs w:val="22"/>
        </w:rPr>
      </w:pPr>
    </w:p>
    <w:p w:rsidR="00F1655E" w:rsidRPr="00E1510A" w:rsidRDefault="00F1655E" w:rsidP="00A05345">
      <w:pPr>
        <w:numPr>
          <w:ilvl w:val="0"/>
          <w:numId w:val="1"/>
        </w:numPr>
        <w:rPr>
          <w:i/>
          <w:sz w:val="22"/>
          <w:szCs w:val="22"/>
        </w:rPr>
      </w:pPr>
      <w:r w:rsidRPr="00E1510A">
        <w:rPr>
          <w:i/>
          <w:sz w:val="22"/>
          <w:szCs w:val="22"/>
        </w:rPr>
        <w:t>Global Contexts:</w:t>
      </w:r>
    </w:p>
    <w:p w:rsidR="00F1655E" w:rsidRPr="00D86981" w:rsidRDefault="00F1655E" w:rsidP="00F1655E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 xml:space="preserve">How do our programs prepare students to work in the modern, global context?  </w:t>
      </w:r>
    </w:p>
    <w:p w:rsidR="00F1655E" w:rsidRDefault="00F1655E" w:rsidP="00F1655E">
      <w:pPr>
        <w:numPr>
          <w:ilvl w:val="1"/>
          <w:numId w:val="1"/>
        </w:numPr>
        <w:rPr>
          <w:sz w:val="22"/>
          <w:szCs w:val="22"/>
        </w:rPr>
      </w:pPr>
      <w:r w:rsidRPr="00D86981">
        <w:rPr>
          <w:sz w:val="22"/>
          <w:szCs w:val="22"/>
        </w:rPr>
        <w:t>What approaches can we take to add international dimensions to our courses and to our programs?</w:t>
      </w:r>
    </w:p>
    <w:p w:rsidR="00C47F66" w:rsidRDefault="00C47F66" w:rsidP="00C47F6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 do we find global partners to work with our students? </w:t>
      </w:r>
    </w:p>
    <w:p w:rsidR="00F1655E" w:rsidRPr="00D86981" w:rsidRDefault="00F1655E" w:rsidP="00F1655E">
      <w:pPr>
        <w:ind w:left="360"/>
        <w:rPr>
          <w:sz w:val="22"/>
          <w:szCs w:val="22"/>
        </w:rPr>
      </w:pPr>
    </w:p>
    <w:p w:rsidR="00A05345" w:rsidRPr="00D86981" w:rsidRDefault="00A05345" w:rsidP="00A05345">
      <w:pPr>
        <w:rPr>
          <w:sz w:val="22"/>
          <w:szCs w:val="22"/>
        </w:rPr>
      </w:pPr>
      <w:r w:rsidRPr="00D86981">
        <w:rPr>
          <w:i/>
          <w:sz w:val="22"/>
          <w:szCs w:val="22"/>
        </w:rPr>
        <w:t>The CPTSC conference emphasizes discussion</w:t>
      </w:r>
      <w:r w:rsidR="00AF2C66">
        <w:rPr>
          <w:i/>
          <w:sz w:val="22"/>
          <w:szCs w:val="22"/>
        </w:rPr>
        <w:t xml:space="preserve"> and a focus on programmatic issues</w:t>
      </w:r>
      <w:r w:rsidRPr="00D86981">
        <w:rPr>
          <w:i/>
          <w:sz w:val="22"/>
          <w:szCs w:val="22"/>
        </w:rPr>
        <w:t>.</w:t>
      </w:r>
      <w:r w:rsidRPr="00D86981">
        <w:rPr>
          <w:sz w:val="22"/>
          <w:szCs w:val="22"/>
        </w:rPr>
        <w:t xml:space="preserve"> The audience includes people from new</w:t>
      </w:r>
      <w:r w:rsidR="00AF2C66">
        <w:rPr>
          <w:sz w:val="22"/>
          <w:szCs w:val="22"/>
        </w:rPr>
        <w:t xml:space="preserve"> and</w:t>
      </w:r>
      <w:r w:rsidRPr="00D86981">
        <w:rPr>
          <w:sz w:val="22"/>
          <w:szCs w:val="22"/>
        </w:rPr>
        <w:t xml:space="preserve"> established programs and anyone with programmatic interests in technical and scientific communication. We welcome participants </w:t>
      </w:r>
      <w:r w:rsidR="00543D94" w:rsidRPr="00D86981">
        <w:rPr>
          <w:sz w:val="22"/>
          <w:szCs w:val="22"/>
        </w:rPr>
        <w:t xml:space="preserve">– administrators, faculty, and graduate students – </w:t>
      </w:r>
      <w:r w:rsidRPr="00D86981">
        <w:rPr>
          <w:sz w:val="22"/>
          <w:szCs w:val="22"/>
        </w:rPr>
        <w:t>from secondary, community college, or university levels, as well as representatives of industry.</w:t>
      </w:r>
    </w:p>
    <w:p w:rsidR="00A05345" w:rsidRPr="00D86981" w:rsidRDefault="00A05345" w:rsidP="00A05345">
      <w:pPr>
        <w:rPr>
          <w:sz w:val="22"/>
          <w:szCs w:val="22"/>
        </w:rPr>
      </w:pPr>
    </w:p>
    <w:p w:rsidR="00633367" w:rsidRPr="00D86981" w:rsidRDefault="00633367" w:rsidP="00633367">
      <w:pPr>
        <w:rPr>
          <w:b/>
          <w:sz w:val="22"/>
          <w:szCs w:val="22"/>
          <w:u w:val="single"/>
        </w:rPr>
      </w:pPr>
      <w:r w:rsidRPr="00D86981">
        <w:rPr>
          <w:b/>
          <w:sz w:val="22"/>
          <w:szCs w:val="22"/>
          <w:u w:val="single"/>
        </w:rPr>
        <w:t>Presentation Formats</w:t>
      </w: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sz w:val="22"/>
          <w:szCs w:val="22"/>
        </w:rPr>
        <w:t>Proposals may be submitted for the following kinds of presentations:</w:t>
      </w:r>
    </w:p>
    <w:p w:rsidR="00633367" w:rsidRPr="00D86981" w:rsidRDefault="00633367" w:rsidP="006333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Individual Presentations: 5-7 minute presentation given by an individual speaker</w:t>
      </w:r>
    </w:p>
    <w:p w:rsidR="00633367" w:rsidRPr="00D86981" w:rsidRDefault="00633367" w:rsidP="006333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Panel Presentation: A session in which 3-6 individuals spend 20-30 minutes examining a central topic or theme</w:t>
      </w:r>
    </w:p>
    <w:p w:rsidR="00633367" w:rsidRPr="00D86981" w:rsidRDefault="00633367" w:rsidP="006333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 xml:space="preserve">Poster Session: Posters will be on display throughout the conference, and poster creators will present and discuss their posters at a dedicated session during the conference </w:t>
      </w:r>
    </w:p>
    <w:p w:rsidR="00633367" w:rsidRPr="00D86981" w:rsidRDefault="00633367" w:rsidP="00633367">
      <w:pPr>
        <w:rPr>
          <w:sz w:val="22"/>
          <w:szCs w:val="22"/>
        </w:rPr>
      </w:pPr>
    </w:p>
    <w:p w:rsidR="00633367" w:rsidRPr="00D86981" w:rsidRDefault="00633367" w:rsidP="00633367">
      <w:pPr>
        <w:rPr>
          <w:b/>
          <w:sz w:val="22"/>
          <w:szCs w:val="22"/>
          <w:u w:val="single"/>
        </w:rPr>
      </w:pPr>
      <w:r w:rsidRPr="00D86981">
        <w:rPr>
          <w:b/>
          <w:sz w:val="22"/>
          <w:szCs w:val="22"/>
          <w:u w:val="single"/>
        </w:rPr>
        <w:t>Submission Guidelines</w:t>
      </w: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sz w:val="22"/>
          <w:szCs w:val="22"/>
        </w:rPr>
        <w:t>Interested individuals should submit a 250-400 word proposal that provides the following information:</w:t>
      </w:r>
    </w:p>
    <w:p w:rsidR="00633367" w:rsidRPr="00D86981" w:rsidRDefault="00633367" w:rsidP="006333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The title of the proposed presentation</w:t>
      </w:r>
    </w:p>
    <w:p w:rsidR="00633367" w:rsidRPr="00D86981" w:rsidRDefault="00633367" w:rsidP="006333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The kind of presentation (i.e., individual presentation, panel presentation, or poster presentation)</w:t>
      </w:r>
    </w:p>
    <w:p w:rsidR="00633367" w:rsidRPr="00D86981" w:rsidRDefault="00633367" w:rsidP="006333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The submitter’s name, affiliation, and contact email</w:t>
      </w:r>
    </w:p>
    <w:p w:rsidR="00633367" w:rsidRPr="00D86981" w:rsidRDefault="00633367" w:rsidP="006333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The topic of the proposed presentation</w:t>
      </w:r>
    </w:p>
    <w:p w:rsidR="00633367" w:rsidRPr="00D86981" w:rsidRDefault="00633367" w:rsidP="006333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The connection between the proposed presentation to the conference theme</w:t>
      </w:r>
    </w:p>
    <w:p w:rsidR="00633367" w:rsidRPr="00D86981" w:rsidRDefault="00633367" w:rsidP="006333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A summary of the approach</w:t>
      </w:r>
      <w:r w:rsidR="007B0A21">
        <w:rPr>
          <w:rFonts w:ascii="Times New Roman" w:hAnsi="Times New Roman" w:cs="Times New Roman"/>
        </w:rPr>
        <w:t xml:space="preserve"> or research method</w:t>
      </w:r>
      <w:r w:rsidRPr="00D86981">
        <w:rPr>
          <w:rFonts w:ascii="Times New Roman" w:hAnsi="Times New Roman" w:cs="Times New Roman"/>
        </w:rPr>
        <w:t xml:space="preserve"> used to examine the proposed presentation topic</w:t>
      </w:r>
    </w:p>
    <w:p w:rsidR="00633367" w:rsidRPr="00D86981" w:rsidRDefault="00633367" w:rsidP="006333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6981">
        <w:rPr>
          <w:rFonts w:ascii="Times New Roman" w:hAnsi="Times New Roman" w:cs="Times New Roman"/>
        </w:rPr>
        <w:t>A summary of what attendees can “take away” from the presentation to apply to or use within the context of their own organizations or programs</w:t>
      </w:r>
    </w:p>
    <w:p w:rsidR="00633367" w:rsidRPr="00D86981" w:rsidRDefault="00633367" w:rsidP="00633367">
      <w:pPr>
        <w:rPr>
          <w:sz w:val="22"/>
          <w:szCs w:val="22"/>
        </w:rPr>
      </w:pP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sz w:val="22"/>
          <w:szCs w:val="22"/>
        </w:rPr>
        <w:t xml:space="preserve">All proposals should be submitted as .rtf files attached to an email message sent to </w:t>
      </w:r>
    </w:p>
    <w:p w:rsidR="00633367" w:rsidRPr="00D86981" w:rsidRDefault="00633367" w:rsidP="00633367">
      <w:pPr>
        <w:rPr>
          <w:sz w:val="22"/>
          <w:szCs w:val="22"/>
        </w:rPr>
      </w:pP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sz w:val="22"/>
          <w:szCs w:val="22"/>
        </w:rPr>
        <w:t>CPTSC2013@gmail.com</w:t>
      </w:r>
    </w:p>
    <w:p w:rsidR="00633367" w:rsidRPr="00D86981" w:rsidRDefault="00633367" w:rsidP="00633367">
      <w:pPr>
        <w:rPr>
          <w:sz w:val="22"/>
          <w:szCs w:val="22"/>
        </w:rPr>
      </w:pP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sz w:val="22"/>
          <w:szCs w:val="22"/>
        </w:rPr>
        <w:t>The subject line of the related email should read “CPTSC 2013 Conference Proposal.”  All proposals will be peer reviewed.</w:t>
      </w:r>
    </w:p>
    <w:p w:rsidR="00633367" w:rsidRPr="00D86981" w:rsidRDefault="00633367" w:rsidP="00633367">
      <w:pPr>
        <w:rPr>
          <w:sz w:val="22"/>
          <w:szCs w:val="22"/>
        </w:rPr>
      </w:pP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b/>
          <w:i/>
          <w:sz w:val="22"/>
          <w:szCs w:val="22"/>
        </w:rPr>
        <w:t>Note:</w:t>
      </w:r>
      <w:r w:rsidRPr="00D86981">
        <w:rPr>
          <w:sz w:val="22"/>
          <w:szCs w:val="22"/>
        </w:rPr>
        <w:t xml:space="preserve"> While individuals may submit more than one proposal for consideration, each accepted presenter may give only one presentation at the conference.  </w:t>
      </w:r>
    </w:p>
    <w:p w:rsidR="00633367" w:rsidRPr="00D86981" w:rsidRDefault="00633367" w:rsidP="00633367">
      <w:pPr>
        <w:rPr>
          <w:sz w:val="22"/>
          <w:szCs w:val="22"/>
        </w:rPr>
      </w:pPr>
    </w:p>
    <w:p w:rsidR="00633367" w:rsidRPr="00D86981" w:rsidRDefault="00633367" w:rsidP="00633367">
      <w:pPr>
        <w:rPr>
          <w:b/>
          <w:sz w:val="22"/>
          <w:szCs w:val="22"/>
          <w:u w:val="single"/>
        </w:rPr>
      </w:pPr>
      <w:r w:rsidRPr="00D86981">
        <w:rPr>
          <w:b/>
          <w:sz w:val="22"/>
          <w:szCs w:val="22"/>
          <w:u w:val="single"/>
        </w:rPr>
        <w:t>Submission Deadlines</w:t>
      </w: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b/>
          <w:i/>
          <w:sz w:val="22"/>
          <w:szCs w:val="22"/>
        </w:rPr>
        <w:t>Early Submission Deadline</w:t>
      </w:r>
      <w:r w:rsidRPr="00D86981">
        <w:rPr>
          <w:sz w:val="22"/>
          <w:szCs w:val="22"/>
        </w:rPr>
        <w:t xml:space="preserve"> – Proposals received on or before 1</w:t>
      </w:r>
      <w:r w:rsidR="004F0850">
        <w:rPr>
          <w:sz w:val="22"/>
          <w:szCs w:val="22"/>
        </w:rPr>
        <w:t>7</w:t>
      </w:r>
      <w:r w:rsidRPr="00D86981">
        <w:rPr>
          <w:sz w:val="22"/>
          <w:szCs w:val="22"/>
        </w:rPr>
        <w:t xml:space="preserve"> May 201</w:t>
      </w:r>
      <w:r w:rsidR="00EE0331">
        <w:rPr>
          <w:sz w:val="22"/>
          <w:szCs w:val="22"/>
        </w:rPr>
        <w:t>3</w:t>
      </w:r>
      <w:r w:rsidRPr="00D86981">
        <w:rPr>
          <w:sz w:val="22"/>
          <w:szCs w:val="22"/>
        </w:rPr>
        <w:t xml:space="preserve"> will be considered “early submissions” and will receive expedited review and consideration for the conference.  (Individuals who submit a proposal for the early submission deadline may </w:t>
      </w:r>
      <w:r w:rsidR="004F0850">
        <w:rPr>
          <w:sz w:val="22"/>
          <w:szCs w:val="22"/>
        </w:rPr>
        <w:t xml:space="preserve">also </w:t>
      </w:r>
      <w:r w:rsidRPr="00D86981">
        <w:rPr>
          <w:sz w:val="22"/>
          <w:szCs w:val="22"/>
        </w:rPr>
        <w:t>submit a revised proposal for the regular review deadline.)</w:t>
      </w:r>
    </w:p>
    <w:p w:rsidR="00633367" w:rsidRPr="00D86981" w:rsidRDefault="00633367" w:rsidP="00633367">
      <w:pPr>
        <w:rPr>
          <w:sz w:val="22"/>
          <w:szCs w:val="22"/>
        </w:rPr>
      </w:pP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b/>
          <w:i/>
          <w:sz w:val="22"/>
          <w:szCs w:val="22"/>
        </w:rPr>
        <w:t>Regular Submission Deadline</w:t>
      </w:r>
      <w:r w:rsidRPr="00D86981">
        <w:rPr>
          <w:sz w:val="22"/>
          <w:szCs w:val="22"/>
        </w:rPr>
        <w:t xml:space="preserve"> – Proposals received on or before 8 July 201</w:t>
      </w:r>
      <w:r w:rsidR="00EE0331">
        <w:rPr>
          <w:sz w:val="22"/>
          <w:szCs w:val="22"/>
        </w:rPr>
        <w:t>3</w:t>
      </w:r>
      <w:r w:rsidRPr="00D86981">
        <w:rPr>
          <w:sz w:val="22"/>
          <w:szCs w:val="22"/>
        </w:rPr>
        <w:t xml:space="preserve"> will be considered </w:t>
      </w:r>
      <w:r w:rsidR="00592FEC">
        <w:rPr>
          <w:sz w:val="22"/>
          <w:szCs w:val="22"/>
        </w:rPr>
        <w:t>a</w:t>
      </w:r>
      <w:r w:rsidRPr="00D86981">
        <w:rPr>
          <w:sz w:val="22"/>
          <w:szCs w:val="22"/>
        </w:rPr>
        <w:t xml:space="preserve">“regular submission” and will undergo a slightly longer review process.  </w:t>
      </w:r>
    </w:p>
    <w:p w:rsidR="00633367" w:rsidRPr="00D86981" w:rsidRDefault="00633367" w:rsidP="00633367">
      <w:pPr>
        <w:rPr>
          <w:sz w:val="22"/>
          <w:szCs w:val="22"/>
        </w:rPr>
      </w:pPr>
    </w:p>
    <w:p w:rsidR="00633367" w:rsidRPr="00D86981" w:rsidRDefault="00633367" w:rsidP="00633367">
      <w:pPr>
        <w:rPr>
          <w:b/>
          <w:sz w:val="22"/>
          <w:szCs w:val="22"/>
          <w:u w:val="single"/>
        </w:rPr>
      </w:pPr>
      <w:r w:rsidRPr="00D86981">
        <w:rPr>
          <w:b/>
          <w:sz w:val="22"/>
          <w:szCs w:val="22"/>
          <w:u w:val="single"/>
        </w:rPr>
        <w:t>Questions</w:t>
      </w:r>
    </w:p>
    <w:p w:rsidR="00633367" w:rsidRPr="00D86981" w:rsidRDefault="00633367" w:rsidP="00633367">
      <w:pPr>
        <w:rPr>
          <w:sz w:val="22"/>
          <w:szCs w:val="22"/>
        </w:rPr>
      </w:pPr>
      <w:r w:rsidRPr="00D86981">
        <w:rPr>
          <w:sz w:val="22"/>
          <w:szCs w:val="22"/>
        </w:rPr>
        <w:t xml:space="preserve">Individuals who have questions or who wish to discuss proposal ideas are encouraged to contact the 2013 Conference Program Committee at CPTSC2013@gmail.com </w:t>
      </w:r>
    </w:p>
    <w:p w:rsidR="00633367" w:rsidRPr="007C41D6" w:rsidRDefault="00633367" w:rsidP="00633367"/>
    <w:p w:rsidR="00A05345" w:rsidRPr="0094191D" w:rsidRDefault="00A05345" w:rsidP="00633367"/>
    <w:sectPr w:rsidR="00A05345" w:rsidRPr="0094191D" w:rsidSect="00A05345">
      <w:type w:val="nextColumn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altName w:val="Planet Benson 2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8D5"/>
    <w:multiLevelType w:val="hybridMultilevel"/>
    <w:tmpl w:val="70A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0B0"/>
    <w:multiLevelType w:val="hybridMultilevel"/>
    <w:tmpl w:val="7C740146"/>
    <w:lvl w:ilvl="0" w:tplc="803E5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0F82541"/>
    <w:multiLevelType w:val="hybridMultilevel"/>
    <w:tmpl w:val="ACE4528A"/>
    <w:lvl w:ilvl="0" w:tplc="803E5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F5070CD"/>
    <w:multiLevelType w:val="hybridMultilevel"/>
    <w:tmpl w:val="961AE99C"/>
    <w:lvl w:ilvl="0" w:tplc="803E5E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12775"/>
    <w:multiLevelType w:val="hybridMultilevel"/>
    <w:tmpl w:val="C00897CE"/>
    <w:lvl w:ilvl="0" w:tplc="803E5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0B201C"/>
    <w:multiLevelType w:val="hybridMultilevel"/>
    <w:tmpl w:val="FDE84E60"/>
    <w:lvl w:ilvl="0" w:tplc="803E5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D2802A6"/>
    <w:multiLevelType w:val="hybridMultilevel"/>
    <w:tmpl w:val="AF34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D44E1"/>
    <w:multiLevelType w:val="hybridMultilevel"/>
    <w:tmpl w:val="FF0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31B62"/>
    <w:rsid w:val="00024A59"/>
    <w:rsid w:val="000A4438"/>
    <w:rsid w:val="00114F47"/>
    <w:rsid w:val="00117804"/>
    <w:rsid w:val="001D3D05"/>
    <w:rsid w:val="002E718B"/>
    <w:rsid w:val="00331B62"/>
    <w:rsid w:val="003616C0"/>
    <w:rsid w:val="003E4595"/>
    <w:rsid w:val="004F0850"/>
    <w:rsid w:val="004F6F3D"/>
    <w:rsid w:val="005245B4"/>
    <w:rsid w:val="00526CE5"/>
    <w:rsid w:val="00543D94"/>
    <w:rsid w:val="00592FEC"/>
    <w:rsid w:val="00595414"/>
    <w:rsid w:val="005A3A36"/>
    <w:rsid w:val="005C303B"/>
    <w:rsid w:val="00633367"/>
    <w:rsid w:val="0063529C"/>
    <w:rsid w:val="006520EF"/>
    <w:rsid w:val="006557A1"/>
    <w:rsid w:val="00686FED"/>
    <w:rsid w:val="0069698B"/>
    <w:rsid w:val="006B74F4"/>
    <w:rsid w:val="006C7E4D"/>
    <w:rsid w:val="00766745"/>
    <w:rsid w:val="007B0A21"/>
    <w:rsid w:val="007D1CE7"/>
    <w:rsid w:val="00805770"/>
    <w:rsid w:val="00815E77"/>
    <w:rsid w:val="008212A2"/>
    <w:rsid w:val="008E4008"/>
    <w:rsid w:val="009373A9"/>
    <w:rsid w:val="00993254"/>
    <w:rsid w:val="00A04986"/>
    <w:rsid w:val="00A05345"/>
    <w:rsid w:val="00AB1347"/>
    <w:rsid w:val="00AC026E"/>
    <w:rsid w:val="00AD5436"/>
    <w:rsid w:val="00AE5228"/>
    <w:rsid w:val="00AF0C02"/>
    <w:rsid w:val="00AF2C66"/>
    <w:rsid w:val="00B0197A"/>
    <w:rsid w:val="00B14140"/>
    <w:rsid w:val="00B55379"/>
    <w:rsid w:val="00B600A7"/>
    <w:rsid w:val="00BA1C03"/>
    <w:rsid w:val="00BF01CC"/>
    <w:rsid w:val="00C47F66"/>
    <w:rsid w:val="00C51B0D"/>
    <w:rsid w:val="00C66B53"/>
    <w:rsid w:val="00C807BB"/>
    <w:rsid w:val="00CB52D0"/>
    <w:rsid w:val="00CE335F"/>
    <w:rsid w:val="00D33C78"/>
    <w:rsid w:val="00D52CEE"/>
    <w:rsid w:val="00D5764A"/>
    <w:rsid w:val="00D86981"/>
    <w:rsid w:val="00DC2DFA"/>
    <w:rsid w:val="00DC4A68"/>
    <w:rsid w:val="00DE2BC9"/>
    <w:rsid w:val="00E0076C"/>
    <w:rsid w:val="00E1510A"/>
    <w:rsid w:val="00E60F98"/>
    <w:rsid w:val="00E94E9A"/>
    <w:rsid w:val="00EB74C9"/>
    <w:rsid w:val="00EE0331"/>
    <w:rsid w:val="00EE12C5"/>
    <w:rsid w:val="00F10922"/>
    <w:rsid w:val="00F1655E"/>
    <w:rsid w:val="00F26F5B"/>
    <w:rsid w:val="00F40DA2"/>
    <w:rsid w:val="00F4647F"/>
    <w:rsid w:val="00FD6D6D"/>
    <w:rsid w:val="00F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1A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51A4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C026E"/>
    <w:rPr>
      <w:sz w:val="16"/>
      <w:szCs w:val="16"/>
    </w:rPr>
  </w:style>
  <w:style w:type="paragraph" w:styleId="CommentText">
    <w:name w:val="annotation text"/>
    <w:basedOn w:val="Normal"/>
    <w:semiHidden/>
    <w:rsid w:val="00AC0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026E"/>
    <w:rPr>
      <w:b/>
      <w:bCs/>
    </w:rPr>
  </w:style>
  <w:style w:type="paragraph" w:styleId="ListParagraph">
    <w:name w:val="List Paragraph"/>
    <w:basedOn w:val="Normal"/>
    <w:uiPriority w:val="34"/>
    <w:qFormat/>
    <w:rsid w:val="00AF0C0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51A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51A4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C026E"/>
    <w:rPr>
      <w:sz w:val="16"/>
      <w:szCs w:val="16"/>
    </w:rPr>
  </w:style>
  <w:style w:type="paragraph" w:styleId="CommentText">
    <w:name w:val="annotation text"/>
    <w:basedOn w:val="Normal"/>
    <w:semiHidden/>
    <w:rsid w:val="00AC02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026E"/>
    <w:rPr>
      <w:b/>
      <w:bCs/>
    </w:rPr>
  </w:style>
  <w:style w:type="paragraph" w:styleId="ListParagraph">
    <w:name w:val="List Paragraph"/>
    <w:basedOn w:val="Normal"/>
    <w:uiPriority w:val="34"/>
    <w:qFormat/>
    <w:rsid w:val="00AF0C0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8121</Characters>
  <Application>Microsoft Office Word</Application>
  <DocSecurity>0</DocSecurity>
  <Lines>82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 – 2008 Annual Conference of the Council for Programs in Technical and Scientific Communication</vt:lpstr>
    </vt:vector>
  </TitlesOfParts>
  <Company>TTU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– 2008 Annual Conference of the Council for Programs in Technical and Scientific Communication</dc:title>
  <dc:creator>kirk st.amant</dc:creator>
  <cp:lastModifiedBy>Editor</cp:lastModifiedBy>
  <cp:revision>2</cp:revision>
  <dcterms:created xsi:type="dcterms:W3CDTF">2013-03-04T00:05:00Z</dcterms:created>
  <dcterms:modified xsi:type="dcterms:W3CDTF">2013-03-04T00:05:00Z</dcterms:modified>
</cp:coreProperties>
</file>